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C5A5" w14:textId="77777777" w:rsidR="00C52C72" w:rsidRPr="00C52C72" w:rsidRDefault="00C52C72" w:rsidP="00C52C72">
      <w:pPr>
        <w:pStyle w:val="Default"/>
        <w:rPr>
          <w:rFonts w:ascii="Helvetica LT Std Cond" w:hAnsi="Helvetica LT Std Cond"/>
          <w:b/>
          <w:bCs/>
          <w:sz w:val="28"/>
          <w:szCs w:val="28"/>
        </w:rPr>
      </w:pPr>
      <w:r w:rsidRPr="00C52C72">
        <w:rPr>
          <w:rFonts w:ascii="Helvetica LT Std Cond" w:hAnsi="Helvetica LT Std Cond"/>
          <w:b/>
          <w:bCs/>
          <w:sz w:val="28"/>
          <w:szCs w:val="28"/>
        </w:rPr>
        <w:t xml:space="preserve">ET&amp;D Partnership Construction Outreach Training Executive Summary </w:t>
      </w:r>
    </w:p>
    <w:p w14:paraId="3710F86C" w14:textId="77777777" w:rsidR="00C52C72" w:rsidRDefault="00C52C72" w:rsidP="00C52C72">
      <w:pPr>
        <w:pStyle w:val="Default"/>
        <w:rPr>
          <w:sz w:val="23"/>
          <w:szCs w:val="23"/>
        </w:rPr>
      </w:pPr>
      <w:r>
        <w:rPr>
          <w:sz w:val="23"/>
          <w:szCs w:val="23"/>
        </w:rPr>
        <w:t xml:space="preserve"> </w:t>
      </w:r>
    </w:p>
    <w:p w14:paraId="48F9A7C1" w14:textId="10D536A3" w:rsidR="00A4487C" w:rsidRDefault="00C52C72" w:rsidP="00C52C72">
      <w:pPr>
        <w:rPr>
          <w:sz w:val="22"/>
          <w:szCs w:val="22"/>
        </w:rPr>
      </w:pPr>
      <w:r>
        <w:rPr>
          <w:sz w:val="22"/>
          <w:szCs w:val="22"/>
        </w:rPr>
        <w:t>The Electrical Transmission and Distribution Partnership conceived of and subsequently developed the OSHA Electrical Construction Industry Outreach training course with the mind set of producing a non-traditional, industry specific training course tailored toward employees involved with the construction and maintenance of power transmission and distribution systems. Members from each of the entities listed below worked diligently to develop and implement this industry changing and industry challenging training course. Persons attending this course will receive training in the topics listed below. Each module is tailored specially toward the power transmission and distribution industry. Although this course is based on the current OSHA 1910 and 1926 standards, the course material also discusses consensus standards, industry accepted best practices, the OSHA Focus 4 topics in addition to equal-potential grounding and bonding, flame resistant clothing, electrical arc protection, and pre-job briefings. Students completing this course receive a traditional OSHA 10-Hour for Construction card marked with an ET&amp;D Partnership designation.</w:t>
      </w:r>
    </w:p>
    <w:p w14:paraId="5E9DBB78" w14:textId="642DC388" w:rsidR="00C52C72" w:rsidRDefault="00C52C72" w:rsidP="00C52C7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714"/>
        <w:gridCol w:w="540"/>
        <w:gridCol w:w="2790"/>
        <w:gridCol w:w="1795"/>
      </w:tblGrid>
      <w:tr w:rsidR="00C52C72" w14:paraId="4BABFB7C" w14:textId="77777777" w:rsidTr="00C52C72">
        <w:tc>
          <w:tcPr>
            <w:tcW w:w="2511" w:type="dxa"/>
            <w:shd w:val="clear" w:color="auto" w:fill="FBE4D5" w:themeFill="accent2" w:themeFillTint="33"/>
          </w:tcPr>
          <w:p w14:paraId="609770BB" w14:textId="29FA140D" w:rsidR="00C52C72" w:rsidRDefault="00C52C72" w:rsidP="00C52C72">
            <w:r>
              <w:t>TOPIC</w:t>
            </w:r>
          </w:p>
        </w:tc>
        <w:tc>
          <w:tcPr>
            <w:tcW w:w="1714" w:type="dxa"/>
            <w:shd w:val="clear" w:color="auto" w:fill="FBE4D5" w:themeFill="accent2" w:themeFillTint="33"/>
          </w:tcPr>
          <w:p w14:paraId="2CCCAC96" w14:textId="3D5289BF" w:rsidR="00C52C72" w:rsidRDefault="00C52C72" w:rsidP="00C52C72">
            <w:r>
              <w:t>CONTACT TIME</w:t>
            </w:r>
          </w:p>
        </w:tc>
        <w:tc>
          <w:tcPr>
            <w:tcW w:w="540" w:type="dxa"/>
            <w:shd w:val="clear" w:color="auto" w:fill="FBE4D5" w:themeFill="accent2" w:themeFillTint="33"/>
          </w:tcPr>
          <w:p w14:paraId="61AA928B" w14:textId="77777777" w:rsidR="00C52C72" w:rsidRDefault="00C52C72" w:rsidP="00C52C72"/>
        </w:tc>
        <w:tc>
          <w:tcPr>
            <w:tcW w:w="2790" w:type="dxa"/>
            <w:shd w:val="clear" w:color="auto" w:fill="FBE4D5" w:themeFill="accent2" w:themeFillTint="33"/>
          </w:tcPr>
          <w:p w14:paraId="4305AED7" w14:textId="24D6DB5F" w:rsidR="00C52C72" w:rsidRDefault="00C52C72" w:rsidP="00C52C72">
            <w:r>
              <w:t>TOPIC</w:t>
            </w:r>
          </w:p>
        </w:tc>
        <w:tc>
          <w:tcPr>
            <w:tcW w:w="1795" w:type="dxa"/>
            <w:shd w:val="clear" w:color="auto" w:fill="FBE4D5" w:themeFill="accent2" w:themeFillTint="33"/>
          </w:tcPr>
          <w:p w14:paraId="4C11385C" w14:textId="169E7252" w:rsidR="00C52C72" w:rsidRDefault="00C52C72" w:rsidP="00C52C72">
            <w:r>
              <w:t>CONTACT TIME</w:t>
            </w:r>
          </w:p>
        </w:tc>
      </w:tr>
      <w:tr w:rsidR="00C52C72" w14:paraId="5BD58EE6" w14:textId="77777777" w:rsidTr="00C52C72">
        <w:tc>
          <w:tcPr>
            <w:tcW w:w="2511" w:type="dxa"/>
          </w:tcPr>
          <w:p w14:paraId="1FDBAAA0" w14:textId="75068B6C" w:rsidR="00C52C72" w:rsidRDefault="00C52C72" w:rsidP="00C52C72">
            <w:r>
              <w:t>Intro to OSHA</w:t>
            </w:r>
          </w:p>
        </w:tc>
        <w:tc>
          <w:tcPr>
            <w:tcW w:w="1714" w:type="dxa"/>
          </w:tcPr>
          <w:p w14:paraId="492D8927" w14:textId="16EFB891" w:rsidR="00C52C72" w:rsidRDefault="00C52C72" w:rsidP="00C52C72">
            <w:r>
              <w:t>1 Hour</w:t>
            </w:r>
          </w:p>
        </w:tc>
        <w:tc>
          <w:tcPr>
            <w:tcW w:w="540" w:type="dxa"/>
          </w:tcPr>
          <w:p w14:paraId="01FFFFFC" w14:textId="77777777" w:rsidR="00C52C72" w:rsidRDefault="00C52C72" w:rsidP="00C52C72"/>
        </w:tc>
        <w:tc>
          <w:tcPr>
            <w:tcW w:w="2790" w:type="dxa"/>
          </w:tcPr>
          <w:p w14:paraId="72F36C84" w14:textId="67C4BFD3" w:rsidR="00C52C72" w:rsidRDefault="00C52C72" w:rsidP="00C52C72">
            <w:r>
              <w:t>Rigging &amp; Lifting</w:t>
            </w:r>
          </w:p>
        </w:tc>
        <w:tc>
          <w:tcPr>
            <w:tcW w:w="1795" w:type="dxa"/>
          </w:tcPr>
          <w:p w14:paraId="7F96EB80" w14:textId="388A0A9C" w:rsidR="00C52C72" w:rsidRDefault="00C52C72" w:rsidP="00C52C72">
            <w:r>
              <w:t>1 Hour</w:t>
            </w:r>
          </w:p>
        </w:tc>
      </w:tr>
      <w:tr w:rsidR="00C52C72" w14:paraId="477D5A84" w14:textId="77777777" w:rsidTr="00C52C72">
        <w:tc>
          <w:tcPr>
            <w:tcW w:w="2511" w:type="dxa"/>
          </w:tcPr>
          <w:p w14:paraId="2AD80212" w14:textId="4F94889D" w:rsidR="00C52C72" w:rsidRDefault="00C52C72" w:rsidP="00C52C72">
            <w:r>
              <w:t>Electrical Safety</w:t>
            </w:r>
          </w:p>
        </w:tc>
        <w:tc>
          <w:tcPr>
            <w:tcW w:w="1714" w:type="dxa"/>
          </w:tcPr>
          <w:p w14:paraId="3BD43153" w14:textId="1FF7950D" w:rsidR="00C52C72" w:rsidRDefault="00C52C72" w:rsidP="00C52C72">
            <w:r>
              <w:t>2 Hours</w:t>
            </w:r>
          </w:p>
        </w:tc>
        <w:tc>
          <w:tcPr>
            <w:tcW w:w="540" w:type="dxa"/>
          </w:tcPr>
          <w:p w14:paraId="4DB9598F" w14:textId="77777777" w:rsidR="00C52C72" w:rsidRDefault="00C52C72" w:rsidP="00C52C72"/>
        </w:tc>
        <w:tc>
          <w:tcPr>
            <w:tcW w:w="2790" w:type="dxa"/>
          </w:tcPr>
          <w:p w14:paraId="56750D40" w14:textId="550C2376" w:rsidR="00C52C72" w:rsidRDefault="00C52C72" w:rsidP="00C52C72">
            <w:r>
              <w:t>Confined/Enclosed Spaces</w:t>
            </w:r>
          </w:p>
        </w:tc>
        <w:tc>
          <w:tcPr>
            <w:tcW w:w="1795" w:type="dxa"/>
          </w:tcPr>
          <w:p w14:paraId="638A30C1" w14:textId="5A36B0E2" w:rsidR="00C52C72" w:rsidRDefault="00C52C72" w:rsidP="00C52C72">
            <w:r>
              <w:t>1 Hour</w:t>
            </w:r>
          </w:p>
        </w:tc>
      </w:tr>
      <w:tr w:rsidR="00C52C72" w14:paraId="22ADA23E" w14:textId="77777777" w:rsidTr="00C52C72">
        <w:tc>
          <w:tcPr>
            <w:tcW w:w="2511" w:type="dxa"/>
          </w:tcPr>
          <w:p w14:paraId="2F066434" w14:textId="3AD55931" w:rsidR="00C52C72" w:rsidRDefault="00C52C72" w:rsidP="00C52C72">
            <w:r>
              <w:t>Grounding &amp; Bonding</w:t>
            </w:r>
          </w:p>
        </w:tc>
        <w:tc>
          <w:tcPr>
            <w:tcW w:w="1714" w:type="dxa"/>
          </w:tcPr>
          <w:p w14:paraId="233EE819" w14:textId="6670C0A4" w:rsidR="00C52C72" w:rsidRDefault="00C52C72" w:rsidP="00C52C72">
            <w:r>
              <w:t>2.5 Hours</w:t>
            </w:r>
          </w:p>
        </w:tc>
        <w:tc>
          <w:tcPr>
            <w:tcW w:w="540" w:type="dxa"/>
          </w:tcPr>
          <w:p w14:paraId="51B25F90" w14:textId="77777777" w:rsidR="00C52C72" w:rsidRDefault="00C52C72" w:rsidP="00C52C72"/>
        </w:tc>
        <w:tc>
          <w:tcPr>
            <w:tcW w:w="2790" w:type="dxa"/>
          </w:tcPr>
          <w:p w14:paraId="3F5ACC51" w14:textId="5AAD9ECF" w:rsidR="00C52C72" w:rsidRDefault="00C52C72" w:rsidP="00C52C72">
            <w:r>
              <w:t>Trenching &amp; Excavation</w:t>
            </w:r>
          </w:p>
        </w:tc>
        <w:tc>
          <w:tcPr>
            <w:tcW w:w="1795" w:type="dxa"/>
          </w:tcPr>
          <w:p w14:paraId="195D12F9" w14:textId="23DB820D" w:rsidR="00C52C72" w:rsidRDefault="00C52C72" w:rsidP="00C52C72">
            <w:r>
              <w:t>1 Hour</w:t>
            </w:r>
          </w:p>
        </w:tc>
      </w:tr>
      <w:tr w:rsidR="00C52C72" w14:paraId="37F992C9" w14:textId="77777777" w:rsidTr="00C52C72">
        <w:tc>
          <w:tcPr>
            <w:tcW w:w="2511" w:type="dxa"/>
          </w:tcPr>
          <w:p w14:paraId="7A35D872" w14:textId="00043346" w:rsidR="00C52C72" w:rsidRDefault="00C52C72" w:rsidP="00C52C72">
            <w:r>
              <w:t>Personal Protective Equipment</w:t>
            </w:r>
          </w:p>
        </w:tc>
        <w:tc>
          <w:tcPr>
            <w:tcW w:w="1714" w:type="dxa"/>
          </w:tcPr>
          <w:p w14:paraId="7EBD88E4" w14:textId="77C2AD41" w:rsidR="00C52C72" w:rsidRDefault="00C52C72" w:rsidP="00C52C72">
            <w:r>
              <w:t>1 Hour</w:t>
            </w:r>
          </w:p>
        </w:tc>
        <w:tc>
          <w:tcPr>
            <w:tcW w:w="540" w:type="dxa"/>
          </w:tcPr>
          <w:p w14:paraId="49999105" w14:textId="77777777" w:rsidR="00C52C72" w:rsidRDefault="00C52C72" w:rsidP="00C52C72"/>
        </w:tc>
        <w:tc>
          <w:tcPr>
            <w:tcW w:w="2790" w:type="dxa"/>
          </w:tcPr>
          <w:p w14:paraId="4839A038" w14:textId="4308F486" w:rsidR="00C52C72" w:rsidRDefault="00C52C72" w:rsidP="00C52C72">
            <w:r>
              <w:t>Fall Protection</w:t>
            </w:r>
          </w:p>
        </w:tc>
        <w:tc>
          <w:tcPr>
            <w:tcW w:w="1795" w:type="dxa"/>
          </w:tcPr>
          <w:p w14:paraId="65C454E4" w14:textId="3F5081BC" w:rsidR="00C52C72" w:rsidRDefault="00C52C72" w:rsidP="00C52C72">
            <w:r>
              <w:t>1.5 Hours</w:t>
            </w:r>
          </w:p>
        </w:tc>
      </w:tr>
      <w:tr w:rsidR="00C52C72" w14:paraId="6CE7378D" w14:textId="77777777" w:rsidTr="00C52C72">
        <w:tc>
          <w:tcPr>
            <w:tcW w:w="2511" w:type="dxa"/>
          </w:tcPr>
          <w:p w14:paraId="7C80E855" w14:textId="3639BBD5" w:rsidR="00C52C72" w:rsidRDefault="00C52C72" w:rsidP="00C52C72">
            <w:r>
              <w:t>Pre-Job Briefings</w:t>
            </w:r>
          </w:p>
        </w:tc>
        <w:tc>
          <w:tcPr>
            <w:tcW w:w="1714" w:type="dxa"/>
          </w:tcPr>
          <w:p w14:paraId="785DF15F" w14:textId="733779D6" w:rsidR="00C52C72" w:rsidRDefault="00C52C72" w:rsidP="00C52C72">
            <w:r>
              <w:t>0.5 Hours</w:t>
            </w:r>
          </w:p>
        </w:tc>
        <w:tc>
          <w:tcPr>
            <w:tcW w:w="540" w:type="dxa"/>
          </w:tcPr>
          <w:p w14:paraId="4D4F827C" w14:textId="77777777" w:rsidR="00C52C72" w:rsidRDefault="00C52C72" w:rsidP="00C52C72"/>
        </w:tc>
        <w:tc>
          <w:tcPr>
            <w:tcW w:w="2790" w:type="dxa"/>
          </w:tcPr>
          <w:p w14:paraId="4701CA50" w14:textId="235D4C94" w:rsidR="00C52C72" w:rsidRDefault="00C52C72" w:rsidP="00C52C72"/>
        </w:tc>
        <w:tc>
          <w:tcPr>
            <w:tcW w:w="1795" w:type="dxa"/>
          </w:tcPr>
          <w:p w14:paraId="2ABB4232" w14:textId="77777777" w:rsidR="00C52C72" w:rsidRDefault="00C52C72" w:rsidP="00C52C72"/>
        </w:tc>
      </w:tr>
    </w:tbl>
    <w:p w14:paraId="08822B7F" w14:textId="40DBEEC8" w:rsidR="00C52C72" w:rsidRDefault="00354F3E" w:rsidP="00C52C72">
      <w:r>
        <w:rPr>
          <w:noProof/>
        </w:rPr>
        <w:drawing>
          <wp:inline distT="0" distB="0" distL="0" distR="0" wp14:anchorId="50643B02" wp14:editId="29A728F7">
            <wp:extent cx="5943600" cy="4195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Partnership 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95445"/>
                    </a:xfrm>
                    <a:prstGeom prst="rect">
                      <a:avLst/>
                    </a:prstGeom>
                  </pic:spPr>
                </pic:pic>
              </a:graphicData>
            </a:graphic>
          </wp:inline>
        </w:drawing>
      </w:r>
      <w:bookmarkStart w:id="0" w:name="_GoBack"/>
      <w:bookmarkEnd w:id="0"/>
    </w:p>
    <w:sectPr w:rsidR="00C52C72" w:rsidSect="00EA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w:altName w:val="Helvetica LT Std Cond"/>
    <w:panose1 w:val="020B05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72"/>
    <w:rsid w:val="00030E1C"/>
    <w:rsid w:val="00354F3E"/>
    <w:rsid w:val="009B33D5"/>
    <w:rsid w:val="00C52C72"/>
    <w:rsid w:val="00EA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7E9"/>
  <w15:chartTrackingRefBased/>
  <w15:docId w15:val="{9B1E3F78-C180-9044-A709-57DAB1B3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C72"/>
    <w:pPr>
      <w:autoSpaceDE w:val="0"/>
      <w:autoSpaceDN w:val="0"/>
      <w:adjustRightInd w:val="0"/>
    </w:pPr>
    <w:rPr>
      <w:rFonts w:ascii="Calibri" w:hAnsi="Calibri" w:cs="Calibri"/>
      <w:color w:val="000000"/>
    </w:rPr>
  </w:style>
  <w:style w:type="table" w:styleId="TableGrid">
    <w:name w:val="Table Grid"/>
    <w:basedOn w:val="TableNormal"/>
    <w:uiPriority w:val="39"/>
    <w:rsid w:val="00C5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7C3F06CF4BB4D9D4AA161AC3C5FE8" ma:contentTypeVersion="13" ma:contentTypeDescription="Create a new document." ma:contentTypeScope="" ma:versionID="db8bc5390c8844f0acb05776ce9de500">
  <xsd:schema xmlns:xsd="http://www.w3.org/2001/XMLSchema" xmlns:xs="http://www.w3.org/2001/XMLSchema" xmlns:p="http://schemas.microsoft.com/office/2006/metadata/properties" xmlns:ns3="0735b30e-5f99-49cd-8983-96b9cfd1ef53" xmlns:ns4="07401909-0227-440d-8aa7-ff9781fded99" targetNamespace="http://schemas.microsoft.com/office/2006/metadata/properties" ma:root="true" ma:fieldsID="346d7f5e887f522073fcf4c058073b8c" ns3:_="" ns4:_="">
    <xsd:import namespace="0735b30e-5f99-49cd-8983-96b9cfd1ef53"/>
    <xsd:import namespace="07401909-0227-440d-8aa7-ff9781fde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5b30e-5f99-49cd-8983-96b9cfd1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01909-0227-440d-8aa7-ff9781fded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27ABF-5F57-402D-B4FE-F243642E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5b30e-5f99-49cd-8983-96b9cfd1ef53"/>
    <ds:schemaRef ds:uri="07401909-0227-440d-8aa7-ff9781fde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0B88B-3D82-4ED7-9111-5C4DB4A1D64B}">
  <ds:schemaRefs>
    <ds:schemaRef ds:uri="http://schemas.microsoft.com/sharepoint/v3/contenttype/forms"/>
  </ds:schemaRefs>
</ds:datastoreItem>
</file>

<file path=customXml/itemProps3.xml><?xml version="1.0" encoding="utf-8"?>
<ds:datastoreItem xmlns:ds="http://schemas.openxmlformats.org/officeDocument/2006/customXml" ds:itemID="{3F196883-99DA-44A3-BCA9-50A439C0E8DB}">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07401909-0227-440d-8aa7-ff9781fded99"/>
    <ds:schemaRef ds:uri="0735b30e-5f99-49cd-8983-96b9cfd1ef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Barber</dc:creator>
  <cp:keywords/>
  <dc:description/>
  <cp:lastModifiedBy>Ashley Webb</cp:lastModifiedBy>
  <cp:revision>3</cp:revision>
  <dcterms:created xsi:type="dcterms:W3CDTF">2021-01-15T16:48:00Z</dcterms:created>
  <dcterms:modified xsi:type="dcterms:W3CDTF">2021-01-15T16:48:00Z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0x010100A497C3F06CF4BB4D9D4AA161AC3C5FE8</vt:lpwstr>
  </property>
</Properties>
</file>